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NW_28224 (Nordrhein-Westfalen) — Erforderliche Sachkunde, gerätetechnische Ausstattung</w:t>
      </w:r>
    </w:p>
    <w:p>
      <w:r>
        <w:rPr>
          <w:color w:val="555555"/>
          <w:sz w:val="18"/>
        </w:rPr>
        <w:t xml:space="preserve">Fn 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Anforderungen an die erforderliche Sachkunde im Sinne dieser Verordnung ergeben sich aus der Anlage 1 zu dieser Verordnung. Zum Nachweis der erforderlichen Sachkunde müssen Sachverständige den allgemeinen (Nummer 1 der Anlage 1) und den spezifischen Anforderungen für mindestens ein Sachgebiet nach Nummer 2 der Anlage1 genügen.</w:t>
      </w:r>
    </w:p>
    <w:p>
      <w:r>
        <w:t xml:space="preserve">(2) Für das Sachgebiet Nummer 2.1 der Anlage 1 müssen Sachverständige mindestens über die gerätetechnische Ausstattung nach Nummer 3 der Anlage 1 verfügen können.</w:t>
      </w:r>
    </w:p>
    <w:p>
      <w:r>
        <w:t xml:space="preserve">Dritter Abschnitt</w:t>
      </w:r>
    </w:p>
    <w:p>
      <w:r>
        <w:t xml:space="preserve">Pflichten</w:t>
      </w:r>
    </w:p>
    <w:p>
      <w:r>
        <w:rPr>
          <w:color w:val="555555"/>
          <w:sz w:val="17"/>
        </w:rPr>
        <w:t xml:space="preserve">Zitiervorschlag: § 6 NW_28224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https://recht.nulegal.eu/gesetze/NW_28224/6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