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89 NW_28223 (Nordrhein-Westfalen) — Beteiligungen</w:t>
      </w:r>
    </w:p>
    <w:p>
      <w:r>
        <w:rPr>
          <w:color w:val="555555"/>
          <w:sz w:val="18"/>
        </w:rPr>
        <w:t xml:space="preserve">LMG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LfM kann sich an Unternehmen in der Rechtsform einer juristischen Person beteiligen, deren Zweck die Förderung der Aufgaben gemäß § 88 ist.</w:t>
      </w:r>
    </w:p>
    <w:p>
      <w:r>
        <w:t xml:space="preserve">(2) Der Gesellschaftsvertrag oder die Satzung müssen einen Aufsichtsrat oder ein entsprechendes Organ vorsehen, falls dies nicht gesetzlich für das Unternehmen bestimmt ist.</w:t>
      </w:r>
    </w:p>
    <w:p>
      <w:r>
        <w:t xml:space="preserve">(3) Bei der Beteiligung hat die LfM eine angemessene Vertretung ihrer Interessen, insbesondere eine Vertretung im Aufsichtsrat oder dem entsprechenden Organ, und eine Prüfung ihrer Betätigung bei dem Unternehmen unter Beachtung kaufmännischer Grundsätze durch einen Abschlussprüfer im Sinne des § 318 Handelsgesetzbuch sicherzustellen.</w:t>
      </w:r>
    </w:p>
    <w:p>
      <w:r>
        <w:t xml:space="preserve">(4) Absätze 1 bis 3 gelten entsprechend für juristische Personen des Privatrechts, die von der LfM gegründet werden oder deren Geschäftsanteile sich ausschließlich in der Hand der Anstalt befinden.</w:t>
      </w:r>
    </w:p>
    <w:p>
      <w:r>
        <w:t xml:space="preserve">(5) Der Landesrechnungshof prüft die Wirtschaftsführung bei solchen Unternehmen des privaten Rechts, an denen die LfM unmittelbar, mittelbar oder zusammen mit anderen Landesmedienanstalten, Anstalten oder Körperschaften des öffentlichen Rechts mit Mehrheit beteiligt ist, soweit deren Gesellschaftsvertrag oder Satzung diese Prüfungen durch den Landesrechnungshof verlangt und deren wirtschaftliche Betätigung Auswirkungen auf die Einnahmen und Ausgaben der LfM hat. Prüft der Landesrechnungshof ein Unternehmen nicht selbst, wird es durch einen von seinem Aufsichtsrat oder seinem entsprechenden Organ im Einvernehmen mit dem Landesrechnungshof beauftragten Wirtschaftsprüfer geprüft. Die LfM ist verpflichtet, für die Aufnahme der erforderlichen Regelungen in den Gesellschaftsvertrag oder die Satzung der Unternehmen zu sorgen.</w:t>
      </w:r>
    </w:p>
    <w:p>
      <w:r>
        <w:t xml:space="preserve">(6) Bei Unternehmen in der Rechtsform des privaten oder des öffentlichen Rechts, an denen die LfM unmittelbar oder mittelbar mehrheitlich beteiligt ist, wirkt die LfM darauf hin, dass die für die Tätigkeit im Geschäftsjahr gewährten Bezüge, Leistungszusagen und Leistungen jedes einzelnen Mitglieds der Geschäftsführung, des Aufsichtsrates, des Beirates oder einer ähnlichen Einrichtung entsprechend § 112 Abs. 3 angegeben werden. Das Gleiche gilt, wenn die LfM nur zusammen mit anderen Anstalten oder Körperschaften des öffentlichen Rechts unmittelbar oder mittelbar mehrheitlich beteiligt ist. Die auf Veranlassung der LfM gewählten oder entsandten Mitglieder setzen diese Verpflichtung um. Ist die LfM nicht mehrheitlich, jedoch in Höhe von mindestens 25 vom Hundert an einem Unternehmen im Sinne des Satzes 1 unmittelbar oder mittelbar beteiligt, soll sie auf eine Veröffentlichung entsprechend Satz 1 hinwirken. Die LfM soll sich an der Gründung oder an einem bestehenden Unternehmen im Sinne der Sätze 1 bis 4 nur beteiligen, wenn gewährleistet ist, dass die für die Tätigkeit im Geschäftsjahr gewährten Bezüge und Leistungszusagen entsprechend Satz 1 angegeben werden.</w:t>
      </w:r>
    </w:p>
    <w:p>
      <w:r>
        <w:t xml:space="preserve">(7) Die LfM legt über ihre Beteiligungen jährlich einen Bericht zusammen mit dem Prüfvermerk des Abschlussprüfers vor.</w:t>
      </w:r>
    </w:p>
    <w:p>
      <w:r>
        <w:rPr>
          <w:color w:val="555555"/>
          <w:sz w:val="17"/>
        </w:rPr>
        <w:t xml:space="preserve">Zitiervorschlag: § 89 NW_28223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https://recht.nulegal.eu/gesetze/NW_28223/89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89 NW_28223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