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NW_28223 (Nordrhein-Westfalen) — Grundsätze</w:t>
      </w:r>
    </w:p>
    <w:p>
      <w:r>
        <w:rPr>
          <w:color w:val="555555"/>
          <w:sz w:val="18"/>
        </w:rPr>
        <w:t xml:space="preserve">LMG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 Rundfunkprogramme veranstalten will, bedarf einer Zulassung durch die Landesanstalt für Medien Nordrhein-Westfalen (LfM). Absatz 5 sowie § 106 Absatz 1 und 2 des Medienstaatsvertrages bleiben unberührt.</w:t>
      </w:r>
    </w:p>
    <w:p>
      <w:r>
        <w:t xml:space="preserve">(2) Jedes nach diesem Gesetz zugelassene landesweite, regionale oder lokale Rundfunkprogramm hat zu einem angemessenen Anteil auf das politische, wirtschaftliche, soziale und kulturelle Leben im Sendegebiet Bezug zu nehmen. Bei der Beurteilung der Angemessenheit sind vor allem die Programmkategorie und der im Programmschema vorgesehene Anteil an Information und Berichterstattung zu berücksichtigen. Das Nähere regelt die LfM durch Satzung.</w:t>
      </w:r>
    </w:p>
    <w:p>
      <w:r>
        <w:t xml:space="preserve">(3) Absatz 1 Satz 1 gilt nicht, wenn ein Veranstalter nach Artikel 5 des Europäischen Übereinkommens über das grenzüberschreitende Fernsehen vom 27. Mai 1994 (BGBl. 1994 II S. 639) der Rechtshoheit einer anderen Vertragspartei oder nach Artikel 2 der Richtlinie 2010/13/EU des Europäischen Parlaments und des Rates vom 10. März 2010 zur Koordinierung bestimmter Rechts- und Verwaltungsvorschriften der Mitgliedstaaten über die Bereitstellung audiovisueller Mediendienste (ABl. L 95 vom 15. April 2010, S. 1), die durch die Richtlinie (EU) 2018/1808 (ABl. L 303 vom 28. November 2018, S. 69) geändert worden ist, der Rechtshoheit eines anderen Mitgliedstaats der Europäischen Union oder eines anderen Vertragsstaats des Abkommens über den Europäischen Wirtschaftsraum unterliegt.</w:t>
      </w:r>
    </w:p>
    <w:p>
      <w:r>
        <w:t xml:space="preserve">(4) Abweichend von Absatz 2 gelten für lokalen Hörfunk, Bürgermedien, Rundfunkprogramme in Einrichtungen, Wohnanlagen und bei örtlichen Veranstaltungen die Abschnitte 6 bis 9 dieses Gesetzes.</w:t>
      </w:r>
    </w:p>
    <w:p>
      <w:r>
        <w:t xml:space="preserve">(5) Für ausschließlich im Internet verbreitete, nicht bundesweite Hörfunkprogramme gilt § 54 Absatz 1 und Absatz 2 des Medienstaatsvertrages entsprechend; das Angebot ist der LfM anzuzeigen. Die Vorschriften der §§ 36 und 37 finden auf Programme nach Satz 1 keine Anwendung, § 5 mit Ausnahme seines Absatzes 2 Nr. 1 erste Alternative und § 6 finden entsprechende Anwendung. Die LfM kann von Veranstaltern von Hörfunkprogrammen im Sinne des Satzes 1 entsprechend § 7 Absatz 3 Informationen und Unterlagen verlangen. Vor dem Inkrafttreten dieses Gesetzes angezeigte, ausschließlich im Internet verbreitete, nicht bundesweite Hörfunkprogramme gelten als zugelassene Programme im Sinne des Absatzes 1.</w:t>
      </w:r>
    </w:p>
    <w:p>
      <w:r>
        <w:rPr>
          <w:color w:val="555555"/>
          <w:sz w:val="17"/>
        </w:rPr>
        <w:t xml:space="preserve">Zitiervorschlag: § 4 NW_28223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https://recht.nulegal.eu/gesetze/NW_28223/4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NW_28223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