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NW_28223 (Nordrhein-Westfalen) — Redaktionell Beschäftigte</w:t>
      </w:r>
    </w:p>
    <w:p>
      <w:r>
        <w:rPr>
          <w:color w:val="555555"/>
          <w:sz w:val="18"/>
        </w:rPr>
        <w:t xml:space="preserve">LMG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redaktionell Beschäftigten haben die ihnen übertragenen Programmaufgaben im Rahmen der Gesamtverantwortung des Veranstalters in eigener journalistischer Verantwortung unter Beachtung der Programmgrundsätze nach § 31 zu erfüllen. Unberührt bleiben vertragliche Vereinbarungen und Weisungsrechte des Veranstalters.</w:t>
      </w:r>
    </w:p>
    <w:p>
      <w:r>
        <w:rPr>
          <w:color w:val="555555"/>
          <w:sz w:val="17"/>
        </w:rPr>
        <w:t xml:space="preserve">Zitiervorschlag: § 32 NW_28223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https://recht.nulegal.eu/gesetze/NW_28223/32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