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NW_28223 (Nordrhein-Westfalen) — Digitalisierte Kabelanlagen</w:t>
      </w:r>
    </w:p>
    <w:p>
      <w:r>
        <w:rPr>
          <w:color w:val="555555"/>
          <w:sz w:val="18"/>
        </w:rPr>
        <w:t xml:space="preserve">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Belegung digitalisierter Kabelanlagen mit Hörfunk- und Fernsehprogrammen richtet sich nach § 81 des Medienstaatsvertrages.</w:t>
      </w:r>
    </w:p>
    <w:p>
      <w:r>
        <w:t xml:space="preserve">(2) Der Betreiber hat sicherzustellen, dass die erforderlichen Übertragungskapazitäten für Bürgermedien nach § 40c zur Verfügung stehen. Die Verbreitung der in Satz 1 genannten Bürgermedien erfolgt unentgeltlich. Dies gilt nicht für die Heranführung. Das Nähere regelt die LfM durch Satzung.</w:t>
      </w:r>
    </w:p>
    <w:p>
      <w:r>
        <w:t xml:space="preserve">(3) Für die Weiterverbreitung von Fernsehprogrammen in nicht bundesweit empfangbaren Angeboten in digitalisierten Kabelanlagen gilt § 103 des Medienstaatsvertrages entsprechend.</w:t>
      </w:r>
    </w:p>
    <w:p>
      <w:r>
        <w:rPr>
          <w:color w:val="555555"/>
          <w:sz w:val="17"/>
        </w:rPr>
        <w:t xml:space="preserve">Zitiervorschlag: § 21 NW_28223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https://recht.nulegal.eu/gesetze/NW_28223/21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