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NW_28223 (Nordrhein-Westfalen) — Prüfung des Jahresabschlusses</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Landesrechnungshof prüft den Jahresabschluss und die Ordnungsmäßigkeit und Wirtschaftlichkeit der Haushalts- und Wirtschaftsführung der LfM.</w:t>
      </w:r>
    </w:p>
    <w:p>
      <w:r>
        <w:t xml:space="preserve">(2) Er prüft insbesondere die Einnahmen, Ausgaben, Verpflichtungen zur Leistung von Ausgaben, das Vermögen und die Schulden, Maßnahmen, die sich finanziell auswirken können, Verwahrungen und Vorschüsse.</w:t>
      </w:r>
    </w:p>
    <w:p>
      <w:r>
        <w:t xml:space="preserve">(3) Die Prüfung erstreckt sich auf die Einhaltung der für die Haushalts- und Wirtschaftsführung der LfM geltenden Vorschriften und Grundsätze. Dazu gehört, ob der Haushaltsplan eingehalten worden ist, die Einnahmen und Ausgaben begründet und belegt sind und der Jahresabschluss ordnungsgemäß aufgestellt ist, wirtschaftlich und sparsam verfahren wird, die Aufgaben mit geringerem Personal- und Sachaufwand oder auf andere Weise wirksamer erfüllt werden können.</w:t>
      </w:r>
    </w:p>
    <w:p>
      <w:r>
        <w:rPr>
          <w:color w:val="555555"/>
          <w:sz w:val="17"/>
        </w:rPr>
        <w:t xml:space="preserve">Zitiervorschlag: § 113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