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NW_28214 (Nordrhein-Westfalen) — Haftung der beteiligten Rechtsträger für Altverbindlichkeiten</w:t>
      </w:r>
    </w:p>
    <w:p>
      <w:r>
        <w:rPr>
          <w:color w:val="555555"/>
          <w:sz w:val="18"/>
        </w:rPr>
        <w:t xml:space="preserve">Gesetz zur Errichtung der Landesbank Nordrhein-Westfalen und zur Umwandlung der Westdeutschen Landesbank Girozentrale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1Für die Erfüllung der bis zum Tag des In-Kraft-Tretens dieses Gesetzes vereinbarten Verbindlichkeiten haften die Westdeutsche Landesbank Girozentrale und die Landesbank Nordrhein-Westfalen als Gesamtschuldner. 2Derjenige Rechtsträger, dem eine Verbindlichkeit durch den Bescheid nach § 2 Abs. 1 Satz 6 nicht zugeordnet ist, haftet für diese Verbindlichkeit nur, wenn sie vor Ablauf des 31. Dezember 2006 fällig ist und daraus Ansprüche gegen ihn gerichtlich geltend gemacht sind. 3Bei öffentlich-rechtlichen Verbindlichkeiten genügt zur Geltendmachung der Erlass eines Verwaltungsakts. 4Im Innenverhältnis haftet derjenige Rechtsträger, dem die Verbindlichkeit zugeordnet ist. 5Weitergehende Ansprüche von Gläubigern und Sonderrechtsinhabern aufgrund der Abspaltung sind ausgeschlossen.</w:t>
      </w:r>
    </w:p>
    <w:p>
      <w:r>
        <w:rPr>
          <w:color w:val="555555"/>
          <w:sz w:val="17"/>
        </w:rPr>
        <w:t xml:space="preserve">Zitiervorschlag: § 3 NW_28214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https://recht.nulegal.eu/gesetze/NW_28214/3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