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NW_28214 (Nordrhein-Westfalen) — Wirkung der Eintragung</w:t>
      </w:r>
    </w:p>
    <w:p>
      <w:r>
        <w:rPr>
          <w:color w:val="555555"/>
          <w:sz w:val="18"/>
        </w:rPr>
        <w:t xml:space="preserve">Gesetz zur Errichtung der Landesbank Nordrhein-Westfalen und zur Umwandlung der Westdeutschen Landesbank Girozentrale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Eintragung der WestLB AG in das Handelsregister hat folgende Wirkungen:</w:t>
      </w:r>
    </w:p>
    <w:p>
      <w:r>
        <w:t xml:space="preserve">1. Die Westdeutsche Landesbank Girozentrale besteht als Aktiengesellschaft weiter.</w:t>
      </w:r>
    </w:p>
    <w:p>
      <w:r>
        <w:t xml:space="preserve">2. Die Landesbank Nordrhein-Westfalen ist an der WestLB AG nach Maßgabe des Aktiengesetzes und der Satzung als Aktionär beteiligt.</w:t>
      </w:r>
    </w:p>
    <w:p>
      <w:r>
        <w:rPr>
          <w:color w:val="555555"/>
          <w:sz w:val="17"/>
        </w:rPr>
        <w:t xml:space="preserve">Zitiervorschlag: § 10 NW_28214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https://recht.nulegal.eu/gesetze/NW_28214/10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