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NW_28211 (Nordrhein-Westfalen) — Brückenkurse</w:t>
      </w:r>
    </w:p>
    <w:p>
      <w:r>
        <w:rPr>
          <w:color w:val="555555"/>
          <w:sz w:val="18"/>
        </w:rPr>
        <w:t xml:space="preserve">APO-OS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Brückenkurse dienen dem Ausgleich partieller Defizite in der von der Sekundarstufe I erwarteten Ausbildung in den Fächern Deutsch, Fremdsprache und Mathematik.</w:t>
      </w:r>
    </w:p>
    <w:p>
      <w:r>
        <w:t xml:space="preserve">(2) Nach Beratung bei der Aufnahme werden die Belegverpflichtungen in den Brückenkursen für die Kollegiatin oder den Kollegiaten entsprechend ihrer oder seiner Eingangsvoraussetzungen individuell festgelegt.</w:t>
      </w:r>
    </w:p>
    <w:p>
      <w:r>
        <w:t xml:space="preserve">(3) Brückenkurse sind auf die Eingangsphase beschränkt.</w:t>
      </w:r>
    </w:p>
    <w:p>
      <w:r>
        <w:rPr>
          <w:color w:val="555555"/>
          <w:sz w:val="17"/>
        </w:rPr>
        <w:t xml:space="preserve">Zitiervorschlag: § 15 NW_28211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https://recht.nulegal.eu/gesetze/NW_28211/15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