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NW_28196 (Nordrhein-Westfalen)</w:t>
      </w:r>
    </w:p>
    <w:p>
      <w:r>
        <w:rPr>
          <w:color w:val="555555"/>
          <w:sz w:val="18"/>
        </w:rPr>
        <w:t xml:space="preserve">Bekanntmachung des Staatsvertrags zwischen dem Land Rheinland-Pfalz und dem Land Nordrhein-Westfalen über die Zugehörigkeit der Wirtschaftsprüferinnen und Wirtschaftsprüfer und der vereidigten Buchprüferinnen und Buchprüfer des Landes Rheinland-Pfalz zum Versorgungswerk der Wirtschaftsprüfer und der vereidigten Buchprüfer im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kann von jedem vertragschließenden Teil mit einer Frist von fünf Jahren zum Ablauf eines Kalenderjahres gekündigt werden. Vor Ablauf von zehn Jahren nach In-Kraft-Treten dieses Staatsvertrages ist eine Kündigung ausgeschlossen.</w:t>
      </w:r>
    </w:p>
    <w:p>
      <w:r>
        <w:t xml:space="preserve">(2) Im Fall der Kündigung übernimmt ein durch das Land Rheinland-Pfalz innerhalb der Kündigungsfrist zu bestimmender Rechtsträger als Gesamtrechtsnachfolger die Mitglieder und sonstigen Leistungsberechtigten nach Artikel 1. Auf diesen Rechtsträger gehen alle Rechte und Pflichten des Versorgungswerkes gegenüber den übernommenen Mitgliedern und sonstigen Leistungsberechtigten über.</w:t>
      </w:r>
    </w:p>
    <w:p>
      <w:r>
        <w:t xml:space="preserve">(3) Im Fall der Kündigung findet eine Auseinandersetzung des Vermögens des Versorgungswerkes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der auf den ausscheidenden Teilbestand treffenden versicherungstechnischen Verbindlichkeiten zu den versicherungstechnischen Verbindlichkeiten des verbleibenden Bestandes aufzuteilen; soweit nichtversicherungstechnische Verbindlichkeiten von dem Gesamtrechtsnachfolger übernommen werden, sind ihm die entsprechenden Deckungsmittel zu überlassen. Bei der Verteilung des Vermögens sind die im Lande Rheinland-Pfalz angelegten Vermögenswerte auf Verlangen an den Gesamtrechtsnachfolger zu übertragen. Bei den übrigen Vermögenswerten ist das Versorgungswerk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Ministerium des Innern und für Sport des Landes Rheinland-Pfalz herzustellen.</w:t>
      </w:r>
    </w:p>
    <w:p>
      <w:r>
        <w:rPr>
          <w:color w:val="555555"/>
          <w:sz w:val="17"/>
        </w:rPr>
        <w:t xml:space="preserve">Zitiervorschlag: Art 7 NW_28196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https://recht.nulegal.eu/gesetze/NW_28196/7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