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NW_28182 (Nordrhein-Westfalen)</w:t>
      </w:r>
    </w:p>
    <w:p>
      <w:r>
        <w:rPr>
          <w:color w:val="555555"/>
          <w:sz w:val="18"/>
        </w:rPr>
        <w:t xml:space="preserve">Bekanntmachung des Verwaltungsabkommen zwischen den Ländern Rheinland-Pfalz und Nordrhein-Westfalen über die Wahrnehmung polizeilicher Aufgaben auf Bundesautobahnen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polizeilichen Aufgaben im Sinne des § 1 umfassen:</w:t>
      </w:r>
    </w:p>
    <w:p>
      <w:r>
        <w:t xml:space="preserve">1. Überwachung des Straßenverkehrs sowie Erforschung und Verfolgung von Straftaten und Ordnungswidrigkeiten einschließlich der Aufnahme von Verkehrsunfällen,</w:t>
      </w:r>
    </w:p>
    <w:p>
      <w:r>
        <w:t xml:space="preserve">2. Verkehrsregelung und -lenkung bei Verkehrsstörungen sowie Maßnahmen des Verkehrswarndienstes,</w:t>
      </w:r>
    </w:p>
    <w:p>
      <w:r>
        <w:t xml:space="preserve">3. Überprüfung von Verkehrszeichen und -einrichtungen sowie unaufschiebbar notwendige Sicherungsmaßnahmen an Bau- und Schadensstellen,</w:t>
      </w:r>
    </w:p>
    <w:p>
      <w:r>
        <w:t xml:space="preserve">4. Begleitung von Schwer- und Großraumtransporten, gefährdeten Transporten und Transporten mit gefährlichen Gütern,</w:t>
      </w:r>
    </w:p>
    <w:p>
      <w:r>
        <w:t xml:space="preserve">5. sonstige Maßnahmen der Gefahrenabwehr im Zusammenhang mit den Nummern 1 bis 4, sofern die Auswirkungen des Anlasses im Wesentlichen auf den Bereich der Bundesautobahn beschränkt bleiben. In den übrigen Fällen sind die unaufschiebbar notwendigen Maßnahmen zu treffen.</w:t>
      </w:r>
    </w:p>
    <w:p>
      <w:r>
        <w:rPr>
          <w:color w:val="555555"/>
          <w:sz w:val="17"/>
        </w:rPr>
        <w:t xml:space="preserve">Zitiervorschlag: § 2 NW_28182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https://recht.nulegal.eu/gesetze/NW_28182/2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