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NW_28180 (Nordrhein-Westfalen)</w:t>
      </w:r>
    </w:p>
    <w:p>
      <w:r>
        <w:rPr>
          <w:color w:val="555555"/>
          <w:sz w:val="18"/>
        </w:rPr>
        <w:t xml:space="preserve">VerwGebO IFG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Februar 2002</w:t>
      </w:r>
    </w:p>
    <w:p>
      <w:r>
        <w:t xml:space="preserve">Auf Grund des § 11 Abs. 2 Satz 1 des Informationsfreiheitsgesetzes Nordrhein-Westfalen vom 27. November 2001 (GV. NRW. S. 806) wird im Einvernehmen mit dem Landtagsausschuss für Innere Verwaltung und Verwaltungsstrukturreform verordnet:</w:t>
      </w:r>
    </w:p>
    <w:p>
      <w:r>
        <w:rPr>
          <w:color w:val="555555"/>
          <w:sz w:val="17"/>
        </w:rPr>
        <w:t xml:space="preserve">Zitiervorschlag: Volltext NW_28180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https://recht.nulegal.eu/gesetze/NW_28180/volltext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NW_28180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