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NW_28180 (Nordrhein-Westfalen) — Auslagen</w:t>
      </w:r>
    </w:p>
    <w:p>
      <w:r>
        <w:rPr>
          <w:color w:val="555555"/>
          <w:sz w:val="18"/>
        </w:rPr>
        <w:t xml:space="preserve">VerwGebO IFG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Erfolgt der Informationszugang durch Einsicht in die Originaldokumente, gelten die damit zusammenhängenden Auslagen als bereits in die Gebühr einbezogen.</w:t>
      </w:r>
    </w:p>
    <w:p>
      <w:r>
        <w:t xml:space="preserve">(2) In den anderen Fällen bestimmt sich die Höhe der Auslagen nach Tarifstelle 3 der Anlage. Die Auslagen sind auch dann zu erstatten, wenn für eine Amtshandlung Gebührenfreiheit besteht oder von der Gebührenerhebung abgesehen wird.</w:t>
      </w:r>
    </w:p>
    <w:p>
      <w:r>
        <w:rPr>
          <w:color w:val="555555"/>
          <w:sz w:val="17"/>
        </w:rPr>
        <w:t xml:space="preserve">Zitiervorschlag: § 3 NW_28180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