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NW_28179 (Nordrhein-Westfalen) — In-Kraft-Treten, Berichtspflicht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2002 in Kraft. Über die Erfahrungen mit dieser Verordnung ist der Landesregierung bis zum 31. Dezember 2009 zu berichten.</w:t>
      </w:r>
    </w:p>
    <w:p>
      <w:r>
        <w:t xml:space="preserve">Die Ministerin 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121 des Fünften Befristungsgesetzes vom 5.4.2005 (GV. NRW. S. 351))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6 NW_28179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https://recht.nulegal.eu/gesetze/NW_28179/6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