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NW_28161 (Nordrhein-Westfalen) — Rechtliche Stellung</w:t>
      </w:r>
    </w:p>
    <w:p>
      <w:r>
        <w:rPr>
          <w:color w:val="555555"/>
          <w:sz w:val="18"/>
        </w:rPr>
        <w:t xml:space="preserve">Rechnungsprüfungsordnung für den Landschaftsverband Westfalen-Lippe;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LWL-Rechnungsprüfungsamt ist in seiner sachlichen Tätigkeit dem Landschaftsausschuss unmittelbar unterstellt und verantwortlich.</w:t>
      </w:r>
    </w:p>
    <w:p>
      <w:r>
        <w:t xml:space="preserve">(2) In der Beurteilung der Prüfungsvorgänge ist das LWL-Rechnungsprüfungsamt an Weisungen nicht gebunden und nur dem Gesetz unterworfen.</w:t>
      </w:r>
    </w:p>
    <w:p>
      <w:r>
        <w:t xml:space="preserve">(3) Unbeschadet der Bestimmungen in den Absätzen 1 und 2 ist die Direktorin/der Direktor des Landschaftsverbandes Dienstvorgesetzte/Dienstvorgesetzter der Dienstkräfte des LWL-Rechnungsprüfungsamtes.</w:t>
      </w:r>
    </w:p>
    <w:p>
      <w:r>
        <w:rPr>
          <w:color w:val="555555"/>
          <w:sz w:val="17"/>
        </w:rPr>
        <w:t xml:space="preserve">Zitiervorschlag: § 2 NW_28161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https://recht.nulegal.eu/gesetze/NW_28161/2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