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Vereinbarung findet Anwendung auf die in Nordrhein-Westfalen örtlich zuständigen Behörden des Bundesgrenzschutzes und die Polizeibehörden des Landes Nordrhein-Westfalen.</w:t>
      </w:r>
    </w:p>
    <w:p>
      <w:r>
        <w:t xml:space="preserve">(2) Behörden im Sinne des Artikels 1 sind</w:t>
      </w:r>
    </w:p>
    <w:p>
      <w:r>
        <w:t xml:space="preserve">a) für den Bundesgrenzschutz</w:t>
      </w:r>
    </w:p>
    <w:p>
      <w:r>
        <w:t xml:space="preserve">- das Grenzschutzpräsidium West</w:t>
      </w:r>
    </w:p>
    <w:p>
      <w:r>
        <w:t xml:space="preserve">- die Bundesgrenzschutzämter Köln und Kleve</w:t>
      </w:r>
    </w:p>
    <w:p>
      <w:r>
        <w:t xml:space="preserve">b) für die Polizei Nordrhein-Westfalen</w:t>
      </w:r>
    </w:p>
    <w:p>
      <w:r>
        <w:t xml:space="preserve">- das Landeskriminalamt</w:t>
      </w:r>
    </w:p>
    <w:p>
      <w:r>
        <w:t xml:space="preserve">- die Bezirksregierungen</w:t>
      </w:r>
    </w:p>
    <w:p>
      <w:r>
        <w:t xml:space="preserve">- die Kreispolizeibehörden.</w:t>
      </w:r>
    </w:p>
    <w:p>
      <w:r>
        <w:t xml:space="preserve">Teil II</w:t>
      </w:r>
    </w:p>
    <w:p>
      <w:r>
        <w:t xml:space="preserve">Organisation, Inhalte</w:t>
      </w:r>
    </w:p>
    <w:p>
      <w:r>
        <w:t xml:space="preserve">und Regeln der Zusammenarbeit</w:t>
      </w:r>
    </w:p>
    <w:p>
      <w:r>
        <w:rPr>
          <w:color w:val="555555"/>
          <w:sz w:val="17"/>
        </w:rPr>
        <w:t xml:space="preserve">Zitiervorschlag: Art 2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