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NW_28151 (Nordrhein-Westfalen) — Gegenstand</w:t>
      </w:r>
    </w:p>
    <w:p>
      <w:r>
        <w:rPr>
          <w:color w:val="555555"/>
          <w:sz w:val="18"/>
        </w:rPr>
        <w:t xml:space="preserve">Satzungsbeschluss der Westfälischen Provinzial-Lebensversicherungsanstalt betreffend die Vereinigung der Westfälischen Provinzial-Feuersozietät und der Westfälischen Provinzial-Lebensversicherungsanstalt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Westfälische Provinzial-Lebensversicherungsanstalt wird im Wege der Aufnahme durch Übertragung des Vermögens ohne Abwicklung auf die Westfälische Provinzial-Feuersozietät verschmolzen.</w:t>
      </w:r>
    </w:p>
    <w:p>
      <w:r>
        <w:t xml:space="preserve">(2) Gegenstand der Aufnahme nach § 1 Abs. 1 sind alle Aktiva und Passiva der Westfälischen Provinzial-Lebensversicherungsanstalt.</w:t>
      </w:r>
    </w:p>
    <w:p>
      <w:r>
        <w:rPr>
          <w:color w:val="555555"/>
          <w:sz w:val="17"/>
        </w:rPr>
        <w:t xml:space="preserve">Zitiervorschlag: § 1 NW_28151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