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NW_28147 (Nordrhein-Westfalen) — Geschäftsgebiet</w:t>
      </w:r>
    </w:p>
    <w:p>
      <w:r>
        <w:rPr>
          <w:color w:val="555555"/>
          <w:sz w:val="18"/>
        </w:rPr>
        <w:t xml:space="preserve">Westfälische Provinzial-VersicherungG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Geschäftsgebiet der Anstalten ist das Gebiet des Landschaftsverbandes Westfalen-Lippe mit Ausnahme des Landesverbandes Lippe.</w:t>
      </w:r>
    </w:p>
    <w:p>
      <w:r>
        <w:t xml:space="preserve">(2) Die Westfälische Provinzial-Lebensversicherungsanstalt ist aufgrund einer 1916 erfolgten Gestattung des ehemaligen Landes Lippe, die nur vom Land Nordrhein-Westfalen widerrufen werden kann, auch im Gebiet des Landesverbandes Lippe tätig.</w:t>
      </w:r>
    </w:p>
    <w:p>
      <w:r>
        <w:t xml:space="preserve">(3) Eine begrenzte Tätigkeit außerhalb Deutschlands im europäischen Binnenmarkt kann durch Satzungsbestimmung zugelassen werden.</w:t>
      </w:r>
    </w:p>
    <w:p>
      <w:r>
        <w:rPr>
          <w:color w:val="555555"/>
          <w:sz w:val="17"/>
        </w:rPr>
        <w:t xml:space="preserve">Zitiervorschlag: § 3 NW_28147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