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NW_28147 (Nordrhein-Westfalen) — Übergangsvorschriften</w:t>
      </w:r>
    </w:p>
    <w:p>
      <w:r>
        <w:rPr>
          <w:color w:val="555555"/>
          <w:sz w:val="18"/>
        </w:rPr>
        <w:t xml:space="preserve">Westfälische Provinzial-VersicherungG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geltenden, aufsichtsbehördlich genehmigten und ordnungsgemäß öffentlich bekannt gemachten Satzungen der Anstalten behalten auch über den Zeitpunkt des Inkrafttretens dieses Gesetzes hinaus ihre Gültigkeit, soweit sie § 1 Abs.1 und § 5 Abs.1 dieses Gesetzes nicht entgegenstehen.</w:t>
      </w:r>
    </w:p>
    <w:p>
      <w:r>
        <w:t xml:space="preserve">(2) Die Amtsdauer der im Amt befindlichen Mitglieder der Gewährträgerversammlung, des Verwaltungsrats sowie des Vorstands wird durch das Inkrafttreten dieses Gesetzes nicht berührt.</w:t>
      </w:r>
    </w:p>
    <w:p>
      <w:r>
        <w:rPr>
          <w:color w:val="555555"/>
          <w:sz w:val="17"/>
        </w:rPr>
        <w:t xml:space="preserve">Zitiervorschlag: § 13 NW_28147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https://recht.nulegal.eu/gesetze/NW_28147/13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