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NW_28145 (Nordrhein-Westfalen) — Inkrafttreten</w:t>
      </w:r>
    </w:p>
    <w:p>
      <w:r>
        <w:rPr>
          <w:color w:val="555555"/>
          <w:sz w:val="18"/>
        </w:rPr>
        <w:t xml:space="preserve">Rechnungsprüfungsordnung für den Landschaftsverband Rheinland;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Rechnungsprüfungsordnung tritt am Tage nach ihrer Veröffentlichung im Gesetz- und Verordnungsblatt für das Land NRW in Kraft.</w:t>
      </w:r>
    </w:p>
    <w:p>
      <w:r>
        <w:t xml:space="preserve">(2) Gleichzeitig wird die von der Landschaftsversammlung Rheinland am 21. August 1980 beschlossene Rechnungsprüfungsordnung für den Landschaftsverband Rheinland (GV. NRW. S. 916) aufgehoben.</w:t>
      </w:r>
    </w:p>
    <w:p>
      <w:r>
        <w:t xml:space="preserve">Der Vorsitzende</w:t>
      </w:r>
    </w:p>
    <w:p>
      <w:r>
        <w:t xml:space="preserve">der Landschaftsversammlung Rheinland</w:t>
      </w:r>
    </w:p>
    <w:p>
      <w:r>
        <w:t xml:space="preserve">S c h i t t g e s</w:t>
      </w:r>
    </w:p>
    <w:p>
      <w:r>
        <w:t xml:space="preserve">Der Schriftführer</w:t>
      </w:r>
    </w:p>
    <w:p>
      <w:r>
        <w:t xml:space="preserve">der Landschaftsversammlung Rheinland</w:t>
      </w:r>
    </w:p>
    <w:p>
      <w:r>
        <w:t xml:space="preserve">M o l s b e r g e r</w:t>
      </w:r>
    </w:p>
    <w:p>
      <w:r>
        <w:t xml:space="preserve">Die vorstehende Neufassung der Rechnungsprüfungsordnung für den Landschaftsverband Rheinland wird gemäß § 6 Abs. 2 Landschaftsverbandsordnung NW in der z.Zt. geltenden Fassung bekannt gemacht.</w:t>
      </w:r>
    </w:p>
    <w:p>
      <w:r>
        <w:t xml:space="preserve">Nach § 6 Abs. 3 Landschaftsverbandsordnung NW kann die Verletzung von Verfahrens- und Formvorschriften der Landschaftsverbandsordnung gegen die Rechnungsprüfungsordnung nach Ablauf eines Jahres seit ihrer Verkündigung nicht mehr geltend gemacht werden, es sei denn,</w:t>
      </w:r>
    </w:p>
    <w:p>
      <w:r>
        <w:t xml:space="preserve">- eine vorgeschriebene Genehmigung fehlt oder ein vorgeschriebenes Anzeigeverfahren wurde nicht durchgeführt,</w:t>
      </w:r>
    </w:p>
    <w:p>
      <w:r>
        <w:t xml:space="preserve">- die Rechnungsprüfungsordnung ist nicht ordnungsgemäß öffentlich bekannt gemacht worden,</w:t>
      </w:r>
    </w:p>
    <w:p>
      <w:r>
        <w:t xml:space="preserve">- der Direktor des Landschaftsverbandes hat den Beschluss der Landschaftversammlung vorher beanstandet oder</w:t>
      </w:r>
    </w:p>
    <w:p>
      <w:r>
        <w:t xml:space="preserve">- der Form- oder Verfahrensmangel ist gegenüber dem Landschaftsverband vorher gerügt und dabei die verletzte Rechtsvorschrift und die Tatsache bezeichnet worden, die den Mangel ergibt.</w:t>
      </w:r>
    </w:p>
    <w:p>
      <w:r>
        <w:t xml:space="preserve">Köln, den 28. September 2001</w:t>
      </w:r>
    </w:p>
    <w:p>
      <w:r>
        <w:t xml:space="preserve">Der Direktor</w:t>
      </w:r>
    </w:p>
    <w:p>
      <w:r>
        <w:t xml:space="preserve">des Landschaftsverbandes Rheinland</w:t>
      </w:r>
    </w:p>
    <w:p>
      <w:r>
        <w:t xml:space="preserve">M o l s b e r g e r</w:t>
      </w:r>
    </w:p>
    <w:p>
      <w:r>
        <w:rPr>
          <w:color w:val="555555"/>
          <w:sz w:val="17"/>
        </w:rPr>
        <w:t xml:space="preserve">Zitiervorschlag: § 19 NW_28145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https://recht.nulegal.eu/gesetze/NW_28145/19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