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NW_28145 (Nordrhein-Westfalen) — Geltungsbereich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Landschaftsverband Rheinland unterhält eine Rechnungsprüfung.</w:t>
      </w:r>
    </w:p>
    <w:p>
      <w:r>
        <w:t xml:space="preserve">(2) Die Rechnungsprüfungsordnung bestimmt Rahmen und Grundsätze für die Tätigkeit der Rechnungsprüfung des Landschaftsverbandes Rheinland.</w:t>
      </w:r>
    </w:p>
    <w:p>
      <w:r>
        <w:t xml:space="preserve">(3) Die Grundsätze für die Geschäftsführung der Rechnungsprüfung werden von der Direktorin/dem Direktor des Landschaftsverbandes Rheinland im Einvernehmen mit der Landschaftsversammlung Rheinland in einer Dienstanweisung festgelegt.</w:t>
      </w:r>
    </w:p>
    <w:p>
      <w:r>
        <w:rPr>
          <w:color w:val="555555"/>
          <w:sz w:val="17"/>
        </w:rPr>
        <w:t xml:space="preserve">Zitiervorschlag: § 1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