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NW_28134 (Nordrhein-Westfalen) — Zuständigkeiten der Landschaftsversammlung</w:t>
      </w:r>
    </w:p>
    <w:p>
      <w:r>
        <w:rPr>
          <w:color w:val="555555"/>
          <w:sz w:val="18"/>
        </w:rPr>
        <w:t xml:space="preserve">LVerbO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Landschaftsversammlung beschließt über</w:t>
      </w:r>
    </w:p>
    <w:p>
      <w:r>
        <w:t xml:space="preserve">a) die allgemeinen Grundsätze, nach denen die Verwaltung geführt werden soll,</w:t>
      </w:r>
    </w:p>
    <w:p>
      <w:r>
        <w:t xml:space="preserve">b) die Wahl der Mitglieder des Landschaftsausschusses und der Fachausschüsse,</w:t>
      </w:r>
    </w:p>
    <w:p>
      <w:r>
        <w:t xml:space="preserve">c) die Wahl des Direktors des Landschaftsverbandes und der Landesräte,</w:t>
      </w:r>
    </w:p>
    <w:p>
      <w:r>
        <w:t xml:space="preserve">d) den Erlaß, die Änderung und die Aufhebung von Satzungen des Landschaftsverbandes,</w:t>
      </w:r>
    </w:p>
    <w:p>
      <w:r>
        <w:t xml:space="preserve">e) den Erlass der Haushaltssatzung, die Landschaftsumlage, die Feststellung des Jahresabschlusses und die Entlastung sowie die Bestätigung des Gesamtabschlusses, sofern ein Gesamtabschluss nicht erstellt wird, die Beschlussfassung über den Beteiligungsbericht,</w:t>
      </w:r>
    </w:p>
    <w:p>
      <w:r>
        <w:t xml:space="preserve">f) die Festlegung strategischer Ziele unter Berücksichtigung der Ressourcen.</w:t>
      </w:r>
    </w:p>
    <w:p>
      <w:r>
        <w:t xml:space="preserve">(2) Die Landschaftsversammlung kann sich die Beratung und Entscheidung von Angelegenheiten, für die der Landschaftsausschuß zuständig ist (§ 11 Abs. 1), vorbehalten.</w:t>
      </w:r>
    </w:p>
    <w:p>
      <w:r>
        <w:rPr>
          <w:color w:val="555555"/>
          <w:sz w:val="17"/>
        </w:rPr>
        <w:t xml:space="preserve">Zitiervorschlag: § 7 NW_28134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https://recht.nulegal.eu/gesetze/NW_28134/7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