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NW_28134 (Nordrhein-Westfalen) — Satzungen</w:t>
      </w:r>
    </w:p>
    <w:p>
      <w:r>
        <w:rPr>
          <w:color w:val="555555"/>
          <w:sz w:val="18"/>
        </w:rPr>
        <w:t xml:space="preserve">LVerbO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Landschaftsverbände können ihre Angelegenheiten durch Satzungen regeln, soweit die Gesetze nicht etwas anderes bestimmen.</w:t>
      </w:r>
    </w:p>
    <w:p>
      <w:r>
        <w:t xml:space="preserve">(2) Satzungen sind im Gesetz- und Verordnungsblatt für das Land Nordrhein-Westfalen öffentlich bekanntzumachen. Satzungen können auch durch Bereitstellung im Internet entsprechend der Bekanntmachungsverordnung vom 26. August 1999 (GV. NRW. S. 516) in der jeweils geltenden Fassung mit der Maßgabe bekannt gemacht werden, dass auf die erfolgte Bereitstellung und die Internetadresse nachrichtlich im Ministerialblatt für das Land Nordrhein-Westfalen hinzuweisen ist. Sie treten, wenn kein anderer Zeitpunkt in der Satzung bestimmt ist, am Tage nach ihrer Bekanntmachung in Kraft.</w:t>
      </w:r>
    </w:p>
    <w:p>
      <w:r>
        <w:t xml:space="preserve">(3) Die Verletzung von Verfahrens- oder Formvorschriften dieses Gesetzes kann gegen Satzungen nach Ablauf von sechs Monaten seit ihrer Verkündung nicht mehr geltend gemacht werden, es sei denn,</w:t>
      </w:r>
    </w:p>
    <w:p>
      <w:r>
        <w:t xml:space="preserve">a) eine vorgeschriebene Genehmigung fehlt oder ein vorgeschriebenes Anzeigeverfahren wurde nicht durchgeführt,</w:t>
      </w:r>
    </w:p>
    <w:p>
      <w:r>
        <w:t xml:space="preserve">b) die Satzung ist nicht ordnungsgemäß öffentlich bekannt gemacht worden,</w:t>
      </w:r>
    </w:p>
    <w:p>
      <w:r>
        <w:t xml:space="preserve">c) der Direktor des Landschaftsverbandes hat den Beschluß der Landschaftsversammlung vorher beanstandet oder</w:t>
      </w:r>
    </w:p>
    <w:p>
      <w:r>
        <w:t xml:space="preserve">d) der Form- oder Verfahrensmangel ist gegenüber dem Landschaftsverband vorher gerügt und dabei die verletzte Rechtsvorschrift und die Tatsache bezeichnet worden, die den Mangel ergibt.</w:t>
      </w:r>
    </w:p>
    <w:p>
      <w:r>
        <w:t xml:space="preserve">Bei der öffentlichen Bekanntmachung der Satzung ist auf die Rechtsfolgen nach Satz 1 hinzuweisen.</w:t>
      </w:r>
    </w:p>
    <w:p>
      <w:r>
        <w:t xml:space="preserve">(4) Die Landschaftsverbände bestimmen durch Satzung die Form der öffentlichen Bekanntmachung für sonstige durch Rechtsvorschrift vorgeschriebene öffentliche Bekanntmachungen, soweit nicht andere Rechtsvorschriften hierüber besondere Regelungen enthalten.</w:t>
      </w:r>
    </w:p>
    <w:p>
      <w:r>
        <w:rPr>
          <w:color w:val="555555"/>
          <w:sz w:val="17"/>
        </w:rPr>
        <w:t xml:space="preserve">Zitiervorschlag: § 6 NW_28134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https://recht.nulegal.eu/gesetze/NW_28134/6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