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NW_28134 (Nordrhein-Westfalen) — Rechte der Einwohner</w:t>
      </w:r>
    </w:p>
    <w:p>
      <w:r>
        <w:rPr>
          <w:color w:val="555555"/>
          <w:sz w:val="18"/>
        </w:rPr>
        <w:t xml:space="preserve">LVerbO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Einwohner der Mitgliedskörperschaften sind berechtigt,</w:t>
      </w:r>
    </w:p>
    <w:p>
      <w:r>
        <w:t xml:space="preserve">1. an der Vertretung und Verwaltung des Landschaftsverbandes nach näherer Vorschrift dieses Gesetzes teilzunehmen,</w:t>
      </w:r>
    </w:p>
    <w:p>
      <w:r>
        <w:t xml:space="preserve">2. die öffentlichen Einrichtungen des Landschaftsverbandes nach Maßgabe der für diese bestehenden Bestimmungen zu benutzen.</w:t>
      </w:r>
    </w:p>
    <w:p>
      <w:r>
        <w:rPr>
          <w:color w:val="555555"/>
          <w:sz w:val="17"/>
        </w:rPr>
        <w:t xml:space="preserve">Zitiervorschlag: § 4 NW_28134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https://recht.nulegal.eu/gesetze/NW_28134/4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