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NW_28134 (Nordrhein-Westfalen) — Übergangsregelungen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6 Absatz 3 Satz 1 genannte Frist gilt für alle ab dem 15. Dezember 2021 verkündeten Satzungen. Für alle vorher verkündeten Satzungen gelten die zum Zeitpunkt der Bekanntmachung geltenden Fristen.</w:t>
      </w:r>
    </w:p>
    <w:p>
      <w:r>
        <w:t xml:space="preserve">(2) Die in § 19 Absatz 3 genannten Fristen gelten für alle ab dem 15. Dezember 2021 gefassten beziehungsweise öffentlich bekannt gemachten Beschlüsse. Für alle vorher gefassten beziehungsweise öffentlich bekannt gemachten Beschlüsse gelten die zum Zeitpunkt des Beschlusses beziehungsweise der Bekanntmachung geltenden Fristen.</w:t>
      </w:r>
    </w:p>
    <w:p>
      <w:r>
        <w:rPr>
          <w:color w:val="555555"/>
          <w:sz w:val="17"/>
        </w:rPr>
        <w:t xml:space="preserve">Zitiervorschlag: § 32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