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NW_28134 (Nordrhein-Westfalen) — Gebiet und Gebietsänderungen</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Gebiet der Landschaftsverbände umfaßt das Gebiet der Mitgliedskörperschaften. Es kann nur durch Gesetz geändert werden. Werden die Grenzen von Mitgliedskörperschaften geändert, die zugleich Grenzen der Landschaftsverbände sind, so bewirkt dies ohne weiteres die Änderung der Landschaftsverbandsgrenzen.</w:t>
      </w:r>
    </w:p>
    <w:p>
      <w:r>
        <w:t xml:space="preserve">(2) Rechtshandlungen, die aus Anlaß der Änderung des Gebietes der Landschaftsverbände erforderlich werden, sind frei von öffentlichen Abgaben einschließlich Gebühren, soweit sie auf Landesrecht beruhen. Das gleiche gilt für die Erstattung von Auslagen.</w:t>
      </w:r>
    </w:p>
    <w:p>
      <w:r>
        <w:rPr>
          <w:color w:val="555555"/>
          <w:sz w:val="17"/>
        </w:rPr>
        <w:t xml:space="preserve">Zitiervorschlag: § 3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