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23c NW_28134 (Nordrhein-Westfalen) — Sonderumlage</w:t>
      </w:r>
    </w:p>
    <w:p>
      <w:r>
        <w:rPr>
          <w:color w:val="555555"/>
          <w:sz w:val="18"/>
        </w:rPr>
        <w:t xml:space="preserve">LVerbO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Landschaftsverband kann eine Sonderumlage erheben, sofern im Jahresabschluss eine Inanspruchnahme der allgemeinen Rücklage erfolgt ist. Eine Sonderumlage ist zu erheben, sofern eine Überschuldung nach § 75 Absatz 7 der Gemeindeordnung für das Land Nordrhein-Westfalen eingetreten ist. Die Sonderumlage ist nach der Inanspruchnahme der allgemeinen Rücklage und unter Beachtung des Rücksichtnahmegebotes nach § 9 Satz 2 der Kreisordnung für das Land Nordrhein-Westfalen zu bestimmen. Sie kann in Teilbeträgen festgesetzt und erhoben werden. § 55 der Kreisordnung für das Land Nordrhein-Westfalen sowie § 22 Absatz 2 und 3 finden entsprechende Anwendung.</w:t>
      </w:r>
    </w:p>
    <w:p>
      <w:r>
        <w:rPr>
          <w:color w:val="555555"/>
          <w:sz w:val="17"/>
        </w:rPr>
        <w:t xml:space="preserve">Zitiervorschlag: § 23c NW_28134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https://recht.nulegal.eu/gesetze/NW_28134/23c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