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NW_28134 (Nordrhein-Westfalen) — Verpflichtungserklärungen</w:t>
      </w:r>
    </w:p>
    <w:p>
      <w:r>
        <w:rPr>
          <w:color w:val="555555"/>
          <w:sz w:val="18"/>
        </w:rPr>
        <w:t xml:space="preserve">LVerbO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Erklärungen, durch die der Landschaftsverband verpflichtet werden soll, bedürfen der Textform nach § 126b des Bürgerlichen Gesetzbuches. Sie sind durch die Direktorin oder den Direktor oder durch die zur Vertretung im Amt beigeordnete Person zu unterzeichnen.</w:t>
      </w:r>
    </w:p>
    <w:p>
      <w:r>
        <w:t xml:space="preserve">(2) Absatz 1 findet keine Anwendung auf Geschäfte der laufenden Verwaltung, die für den Landschaftsverband geldlich nicht von erheblicher Bedeutung sind, und auf Geschäfte, die aufgrund einer in der Form des Absatzes 1 ausgestellten Vollmacht abgeschlossen werden</w:t>
      </w:r>
    </w:p>
    <w:p>
      <w:r>
        <w:rPr>
          <w:color w:val="555555"/>
          <w:sz w:val="17"/>
        </w:rPr>
        <w:t xml:space="preserve">Zitiervorschlag: § 21 NW_28134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https://recht.nulegal.eu/gesetze/NW_28134/21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