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NW_28134 (Nordrhein-Westfalen) — Bildung und Befugnisse der Fachausschüsse</w:t>
      </w:r>
    </w:p>
    <w:p>
      <w:r>
        <w:rPr>
          <w:color w:val="555555"/>
          <w:sz w:val="18"/>
        </w:rPr>
        <w:t xml:space="preserve">LVerbO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Entlastung des Landschaftsausschusses sind Fachausschüsse für folgende Geschäftsbereiche zu bilden:</w:t>
      </w:r>
    </w:p>
    <w:p>
      <w:r>
        <w:t xml:space="preserve">a) Finanzwesen,</w:t>
      </w:r>
    </w:p>
    <w:p>
      <w:r>
        <w:t xml:space="preserve">b) Soziale Aufgaben und Gesundheitsangelegenheiten,</w:t>
      </w:r>
    </w:p>
    <w:p>
      <w:r>
        <w:t xml:space="preserve">c) landschaftliche Kulturpflege,</w:t>
      </w:r>
    </w:p>
    <w:p>
      <w:r>
        <w:t xml:space="preserve">d) Kommunalwirtschaft.</w:t>
      </w:r>
    </w:p>
    <w:p>
      <w:r>
        <w:t xml:space="preserve">Außerdem sind die nach Gesetz oder Satzung für bestimmte Anstalten und Einrichtungen vorgesehenen besonderen Ausschüsse zu bilden.</w:t>
      </w:r>
    </w:p>
    <w:p>
      <w:r>
        <w:t xml:space="preserve">(2) Die Landschaftsversammlung kann durch Satzung bestimmen, daß für weitere Geschäftsbereiche Fachausschüsse gebildet werden.</w:t>
      </w:r>
    </w:p>
    <w:p>
      <w:r>
        <w:t xml:space="preserve">(3) Die Vorsitzenden der Fachausschüsse müssen der Landschaftsversammlung, die Vorsitzenden der Fachausschüsse nach Absatz 1 a bis d und Absatz 2 sollen auch dem Landschaftsausschuß angehören. Zu den Mitgliedern der Fachausschüsse können außer den Mitgliedern der Landschaftsversammlung auch andere Bürger aus dem Gebiet des Landschaftsverbandes gewählt werden, die durch Fachwissen oder Verwaltungserfahrung besondere Eignung hierfür aufweisen. Ihre Zahl darf die der Mitglieder der Landschaftsversammlung in den einzelnen Fachausschüssen nicht erreichen. Die Zusammensetzung der Fachausschüsse wird durch Satzung geregelt; die Abgrenzung ihrer Zuständigkeiten bestimmt der Landschaftsausschuß, soweit nicht in diesem oder einem anderen Gesetz oder in Satzungen Vorschriften hierüber getroffen sind. Soweit die Landschaftsversammlung stellvertretende Ausschußmitglieder bestellt, ist die Reihenfolge der Vertretung zu regeln. Auf die Fachausschüsse findet § 12 Abs. 3 entsprechende Anwendung.</w:t>
      </w:r>
    </w:p>
    <w:p>
      <w:r>
        <w:t xml:space="preserve">(4) Haben sich die Fraktionen über die Verteilung der Ausschussvorsitze geeinigt und wird dieser Einigung nicht von einem Fünftel der Mitglieder der Landschaftsversammlung widersprochen, so bestimmen die Fraktionen die Ausschussvorsitzenden aus der Mitte der den Fachausschüssen angehörenden stimmberechtigten Mitglieder der Landschaftsversammlung. Soweit eine Einigung nicht zustande kommt, werden den Fraktionen die Ausschussvorsitze in der Reihenfolge der Höchstzahlen zugeteilt, die sich durch Teilung der Mitgliederzahlen der Fraktionen durch 1, 2, 3 usw. ergeben; mehrere Fraktionen können sich zusammenschließen. Bei gleichen Höchstzahlen entscheidet das Los, das die oder der Vorsitzende der Landschaftsversammlung zu ziehen hat. Die Fraktionen benennen die Ausschüsse, deren Vorsitz sie beanspruchen, in der Reihenfolge der Höchstzahlen und bestimmen die Vorsitzenden. Der Bestimmung von Ausschussvorsitzenden durch eine Fraktion kann nur mit einer Mehrheit von zwei Dritteln der gesetzlichen Zahl der Mitglieder der Landschaftsversammlung innerhalb einer Frist von zwei Wochen widersprochen werden. Der Widerspruch kann schriftlich erklärt werden. Im Falle des Widerspruchs verbleibt das Bestimmungsrecht bei der nach Satz 2 und 3 berechtigten Fraktion. Für die Abberufung eines oder einer Ausschussvorsitzenden durch die Landschaftsversammlung gilt § 8a Absatz 4 Satz 1 bis 5 entsprechend. Scheidet eine Ausschussvorsitzende oder ein Ausschussvorsitzender während der Wahlzeit aus, bestimmt die Fraktion, der sie oder er angehört, eine Nachfolge. Die Sätze 1 bis 9 gelten für stellvertretende Vorsitzende entsprechend.</w:t>
      </w:r>
    </w:p>
    <w:p>
      <w:r>
        <w:t xml:space="preserve">(5) Werden Ausschüsse während der Wahlzeit neu gebildet, aufgelöst oder ihre Aufgaben wesentlich verändert, ist das Verfahren nach Absatz 4 zu wiederholen.</w:t>
      </w:r>
    </w:p>
    <w:p>
      <w:r>
        <w:t xml:space="preserve">(6) Die Fachausschüsse haben beratende Befugnis, soweit ihnen nicht bestimmte Angelegenheiten ihres Geschäftsbereichs zur selbständigen Entscheidung übertragen worden sind (§ 11 Abs. 2).</w:t>
      </w:r>
    </w:p>
    <w:p>
      <w:r>
        <w:rPr>
          <w:color w:val="555555"/>
          <w:sz w:val="17"/>
        </w:rPr>
        <w:t xml:space="preserve">Zitiervorschlag: § 13 NW_28134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