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NW_28133 (Nordrhein-Westfalen)</w:t>
      </w:r>
    </w:p>
    <w:p>
      <w:r>
        <w:rPr>
          <w:color w:val="555555"/>
          <w:sz w:val="18"/>
        </w:rPr>
        <w:t xml:space="preserve">Verordnung über Zuständigkeiten auf dem Gebiet der Preisüberwachung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wird übertragen</w:t>
      </w:r>
    </w:p>
    <w:p>
      <w:r>
        <w:t xml:space="preserve">1. für Ordnungswidrigkeiten nach § 3 des Wirtschaftsstrafgesetzes 1954 in der Fassung der Bekanntmachung vom 3. Juni 1975 (BGBl. I S. 1313) in der jeweils geltenden Fassung - soweit es sich nicht um Ordnungswidrigkeiten nach der Preisangabenverordnung vom 12. November 2021 (BGBl. I S. 4921) in der jeweils geltenden Fassung handelt - den Bezirksregierungen, auf dem Gebiet der Kampfmittelräumung durch Unternehmen der Bezirksregierung Düsseldorf für das gesamte Gebiet des Landes Nordrhein-Westfalen,</w:t>
      </w:r>
    </w:p>
    <w:p>
      <w:r>
        <w:t xml:space="preserve">2. für Ordnungswidrigkeiten nach § 4 des Wirtschaftsstrafgesetzes 1954 den Kreisordnungsbehörden,</w:t>
      </w:r>
    </w:p>
    <w:p>
      <w:r>
        <w:t xml:space="preserve">3. für Ordnungswidrigkeiten nach § 5 Wirtschaftsstrafgesetz 1954 und nach § 3 Abs. 1 Nr. 2 des Wirtschaftsstrafgesetzes 1954 in Verbindung mit § 20 der Preisangabenverordnung auf die örtlichen Ordnungsbehörden, soweit die Ordnungswidrigkeiten in den in § 1 Abs. 1 des Telemediengesetzes vom 26. Februar 2007 (BGBl. I S. 179) in der jeweils geltenden Fassung definierten Telemedien begangen werden, auf die Bezirksregierung Düsseldorf für das gesamte Gebiet des Landes Nordrhein-Westfalen.</w:t>
      </w:r>
    </w:p>
    <w:p>
      <w:r>
        <w:rPr>
          <w:color w:val="555555"/>
          <w:sz w:val="17"/>
        </w:rPr>
        <w:t xml:space="preserve">Zitiervorschlag: § 3 NW_28133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