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NW_28128 (Nordrhein-Westfalen)</w:t>
      </w:r>
    </w:p>
    <w:p>
      <w:r>
        <w:rPr>
          <w:color w:val="555555"/>
          <w:sz w:val="18"/>
        </w:rPr>
        <w:t xml:space="preserve">StudienstrukturreformVO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30. Mai 2001</w:t>
      </w:r>
    </w:p>
    <w:p>
      <w:r>
        <w:t xml:space="preserve">Aufgrund § 108 Abs. 4 Satz 2 Halbsatz 2 des Gesetzes über die Hochschulen des Landes Nordrhein-Westfalen (Hochschulgesetz - HG) vom 14. März 2000 (GV. NRW. S. 190) wird verordnet:</w:t>
      </w:r>
    </w:p>
    <w:p>
      <w:r>
        <w:t xml:space="preserve">Erster Abschnitt</w:t>
      </w:r>
    </w:p>
    <w:p>
      <w:r>
        <w:rPr>
          <w:color w:val="555555"/>
          <w:sz w:val="17"/>
        </w:rPr>
        <w:t xml:space="preserve">Zitiervorschlag: Volltext NW_28128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https://recht.nulegal.eu/gesetze/NW_28128/volltext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