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NW_28111 (Nordrhein-Westfalen)</w:t>
      </w:r>
    </w:p>
    <w:p>
      <w:r>
        <w:rPr>
          <w:color w:val="555555"/>
          <w:sz w:val="18"/>
        </w:rPr>
        <w:t xml:space="preserve">Verordnung über das In-Kraft-Setzen der Vorschrift des § 6 des Grundbuchbereinigungsgesetzes im Gebiet Nordrhein-Westfalens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Februar 2001</w:t>
      </w:r>
    </w:p>
    <w:p>
      <w:r>
        <w:t xml:space="preserve">Aufgrund des § 6 Abs. 3 Satz 2 des Grundbuchbereinigungsgesetzes vom 20. Dezember 1993 (BGBl. I S. 2182), zuletzt geändert durch Gesetz vom 2. November 2000 (BGBl. I S. 1481), erlässt die Landesregierung Nordrhein-Westfalen folgende Verordnung:</w:t>
      </w:r>
    </w:p>
    <w:p>
      <w:r>
        <w:rPr>
          <w:color w:val="555555"/>
          <w:sz w:val="17"/>
        </w:rPr>
        <w:t xml:space="preserve">Zitiervorschlag: Volltext NW_28111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https://recht.nulegal.eu/gesetze/NW_28111/volltext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