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NW_28105 (Nordrhein-Westfalen) — In-Kraft-Treten der Satzung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am 2. April 1962 in Kraft.</w:t>
      </w:r>
    </w:p>
    <w:p>
      <w:r>
        <w:t xml:space="preserve">(2) Die Satzung ist in den Amtlichen Verkündungsblättern der vertragschließenden Länder bekannt zu geben. Das Gleiche gilt für Satzungsänderungen.</w:t>
      </w:r>
    </w:p>
    <w:p>
      <w:r>
        <w:rPr>
          <w:color w:val="555555"/>
          <w:sz w:val="17"/>
        </w:rPr>
        <w:t xml:space="preserve">Zitiervorschlag: § 25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