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NW_28105 (Nordrhein-Westfalen) — Haushaltswirtschaft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Geschäftsjahr ist das Kalenderjahr.</w:t>
      </w:r>
    </w:p>
    <w:p>
      <w:r>
        <w:t xml:space="preserve">(2) Die Haushaltswirtschaft richtet sich nach der vom Verwaltungsrat zu erlassenden Finanzordnung.</w:t>
      </w:r>
    </w:p>
    <w:p>
      <w:r>
        <w:t xml:space="preserve">(3) Die Haushalts- und Wirtschaftsführung unterliegt der Prüfung durch den Rechnungshof von Rheinland-Pfalz.</w:t>
      </w:r>
    </w:p>
    <w:p>
      <w:r>
        <w:t xml:space="preserve">V.</w:t>
      </w:r>
    </w:p>
    <w:p>
      <w:r>
        <w:t xml:space="preserve">Schlussvorschriften</w:t>
      </w:r>
    </w:p>
    <w:p>
      <w:r>
        <w:rPr>
          <w:color w:val="555555"/>
          <w:sz w:val="17"/>
        </w:rPr>
        <w:t xml:space="preserve">Zitiervorschlag: § 22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