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NW_28105 (Nordrhein-Westfalen) — Geschäftsordnung und Ausschüsse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Fernsehrat gibt sich eine Geschäftsordnung.</w:t>
      </w:r>
    </w:p>
    <w:p>
      <w:r>
        <w:t xml:space="preserve">(2) Die Geschäftsordnung kann die Bildung ständiger und nicht ständiger Ausschüsse vorsehen.</w:t>
      </w:r>
    </w:p>
    <w:p>
      <w:r>
        <w:t xml:space="preserve">2. Der Verwaltungsrat</w:t>
      </w:r>
    </w:p>
    <w:p>
      <w:r>
        <w:rPr>
          <w:color w:val="555555"/>
          <w:sz w:val="17"/>
        </w:rPr>
        <w:t xml:space="preserve">Zitiervorschlag: § 10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