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NW_28105 (Nordrhein-Westfalen) — Name und Sitz der Anstalt</w:t>
      </w:r>
    </w:p>
    <w:p>
      <w:r>
        <w:rPr>
          <w:color w:val="555555"/>
          <w:sz w:val="18"/>
        </w:rPr>
        <w:t xml:space="preserve">Satzung der gemeinnützigen Anstalt des öffentlichen Rechts „ZWEITES DEUTSCHES FERNSEHEN“ vom 2. April 1962 in der Fassung des Änderungsbeschlusses des Fernsehrates vom 24. November 2000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Anstalt führt den Namen Zweites Deutsches Fernsehen.</w:t>
      </w:r>
    </w:p>
    <w:p>
      <w:r>
        <w:t xml:space="preserve">Sie ist eine gemeinnützige Anstalt des öffentlichen Rechts.</w:t>
      </w:r>
    </w:p>
    <w:p>
      <w:r>
        <w:t xml:space="preserve">(2) Die Anstalt führt ein gleich lautendes Dienstsiegel.</w:t>
      </w:r>
    </w:p>
    <w:p>
      <w:r>
        <w:t xml:space="preserve">(3) Die Anstalt hat ihren Sitz in Mainz.</w:t>
      </w:r>
    </w:p>
    <w:p>
      <w:r>
        <w:rPr>
          <w:color w:val="555555"/>
          <w:sz w:val="17"/>
        </w:rPr>
        <w:t xml:space="preserve">Zitiervorschlag: § 1 NW_28105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