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NW_28090 (Nordrhein-Westfalen)</w:t>
      </w:r>
    </w:p>
    <w:p>
      <w:r>
        <w:rPr>
          <w:color w:val="555555"/>
          <w:sz w:val="18"/>
        </w:rPr>
        <w:t xml:space="preserve">KoG-IfSG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Dieses Gesetz tritt am Tage nach der Verkündung in Kraft. Gleichzeitig treten das Gesetz zur Ausführung des Gesetzes zur Bekämpfung der Geschlechtskrankheiten vom 24. November 1981 (GV. NRW. S. 669), geändert durch Gesetz vom 26. Juni 1984 (GV. NRW. S. 370), und die Verordnung über die Gebühren für die Ermittlung von Ansteckungsquellen bei Geschlechtskrankheiten vom 8. Februar 1982 (GV. NRW. S. 78) außer Kraft.</w:t>
      </w:r>
    </w:p>
    <w:p>
      <w:r>
        <w:t xml:space="preserve">Die Landesregierung</w:t>
      </w:r>
    </w:p>
    <w:p>
      <w:r>
        <w:t xml:space="preserve">Nordrhein-Westfalen</w:t>
      </w:r>
    </w:p>
    <w:p>
      <w:r>
        <w:t xml:space="preserve">Der Ministerpräsident</w:t>
      </w:r>
    </w:p>
    <w:p>
      <w:r>
        <w:t xml:space="preserve">Der Innenminister</w:t>
      </w:r>
    </w:p>
    <w:p>
      <w:r>
        <w:t xml:space="preserve">Die Ministerin</w:t>
      </w:r>
    </w:p>
    <w:p>
      <w:r>
        <w:t xml:space="preserve">für Frauen, Jugend,</w:t>
      </w:r>
    </w:p>
    <w:p>
      <w:r>
        <w:t xml:space="preserve">Familie und Gesundheit</w:t>
      </w:r>
    </w:p>
    <w:p>
      <w:r>
        <w:rPr>
          <w:color w:val="555555"/>
          <w:sz w:val="17"/>
        </w:rPr>
        <w:t xml:space="preserve">Zitiervorschlag: § 3 NW_28090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https://recht.nulegal.eu/gesetze/NW_28090/3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