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NW_28088 (Nordrhein-Westfalen) — Verwaltung, Haftung</w:t>
      </w:r>
    </w:p>
    <w:p>
      <w:r>
        <w:rPr>
          <w:color w:val="555555"/>
          <w:sz w:val="18"/>
        </w:rPr>
        <w:t xml:space="preserve">Artikel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Bau- und Liegenschaftsbetrieb NRW wird vom Finanzministerium verwaltet.</w:t>
      </w:r>
    </w:p>
    <w:p>
      <w:r>
        <w:t xml:space="preserve">(2) Bei dem Bau- und Liegenschaftsbetrieb wird ein Verwaltungsrat gebildet.</w:t>
      </w:r>
    </w:p>
    <w:p>
      <w:r>
        <w:t xml:space="preserve">Das Nähere regelt der Finanzminister.</w:t>
      </w:r>
    </w:p>
    <w:p>
      <w:r>
        <w:t xml:space="preserve">(3) Für Verbindlichkeiten des Bau- und Liegenschaftsbetriebes NRW haftet das Land.</w:t>
      </w:r>
    </w:p>
    <w:p>
      <w:r>
        <w:rPr>
          <w:color w:val="555555"/>
          <w:sz w:val="17"/>
        </w:rPr>
        <w:t xml:space="preserve">Zitiervorschlag: § 3 NW_28088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https://recht.nulegal.eu/gesetze/NW_28088/3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