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NW_28088 (Nordrhein-Westfalen) — Jahresabschluss</w:t>
      </w:r>
    </w:p>
    <w:p>
      <w:r>
        <w:rPr>
          <w:color w:val="555555"/>
          <w:sz w:val="18"/>
        </w:rPr>
        <w:t xml:space="preserve">Artikel 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Bau- und Liegenschaftsbetrieb NRW stellt am Schluss eines jeden Geschäftsjahres einen Jahresabschluss nach kaufmännischen Grundsätzen auf.</w:t>
      </w:r>
    </w:p>
    <w:p>
      <w:r>
        <w:t xml:space="preserve">(2) Das Finanzministerium stellt den Jahresabschluss fest und entscheidet über die Ergebnisverwendung.</w:t>
      </w:r>
    </w:p>
    <w:p>
      <w:r>
        <w:t xml:space="preserve">(3) Der Jahresabschluss wird als Anhang der Haushaltsrechnung des Landes beigefügt.</w:t>
      </w:r>
    </w:p>
    <w:p>
      <w:r>
        <w:rPr>
          <w:color w:val="555555"/>
          <w:sz w:val="17"/>
        </w:rPr>
        <w:t xml:space="preserve">Zitiervorschlag: § 12 NW_28088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https://recht.nulegal.eu/gesetze/NW_28088/12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