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NW_28088 (Nordrhein-Westfalen) — Errichtung</w:t>
      </w:r>
    </w:p>
    <w:p>
      <w:r>
        <w:rPr>
          <w:color w:val="555555"/>
          <w:sz w:val="18"/>
        </w:rPr>
        <w:t xml:space="preserve">Artikel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Zum 1. Januar 2001 wird unter dem Namen "Bau- und Liegenschaftsbetrieb des Landes Nordrhein-Westfalen/Bau- und Liegenschaftsbetrieb NRW (BLB NRW)" ein teilrechtsfähiges Sondervermögen des Landes Nordrhein-Westfalen mit eigener Wirtschafts- und Rechnungsführung errichtet. Der Bau- und Liegenschaftsbetrieb NRW ist von dem übrigen Vermögen des Landes Nordrhein-Westfalen, seinen Rechten und Verbindlichkeiten getrennt zu halten.</w:t>
      </w:r>
    </w:p>
    <w:p>
      <w:r>
        <w:t xml:space="preserve">(2) Der Bau- und Liegenschaftsbetrieb NRW kann im Rechtsverkehr unter seinem Namen handeln, klagen und verklagt werden.</w:t>
      </w:r>
    </w:p>
    <w:p>
      <w:r>
        <w:rPr>
          <w:color w:val="555555"/>
          <w:sz w:val="17"/>
        </w:rPr>
        <w:t xml:space="preserve">Zitiervorschlag: § 1 NW_28088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https://recht.nulegal.eu/gesetze/NW_28088/1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