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IV NW_28077 (Nordrhein-Westfalen) — Inkrafttreten</w:t>
      </w:r>
    </w:p>
    <w:p>
      <w:r>
        <w:rPr>
          <w:color w:val="555555"/>
          <w:sz w:val="18"/>
        </w:rPr>
        <w:t xml:space="preserve">Fünfter Rundfunkänderungsstaatsvertrag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Tag nach seiner Verkündung in Kraft.</w:t>
      </w:r>
    </w:p>
    <w:p>
      <w:r>
        <w:t xml:space="preserve">(2) Artikel 1 dieses Gesetzes wird gegenstandslos, wenn nach Artikel 8 Abs. 1 Satz 2 Fünfter Rundfunkänderungsstaatsvertrag nicht alle Ratifikationsurkunden bis zum 31. Dezember 2000 bei der Staatskanzlei des Vorsitzenden der Ministerpräsidentenkonferenz hinterlegt sind. Der Zeitpunkt des Inkrafttretens des Fünften Rundfunkänderungsstaatsvertrags nach seinem Artikel 8 Abs. 2 Satz 1 wird im Gesetz- und Verordnungsblatt für das Land Nordrhein-Westfalen bekannt gemacht.</w:t>
      </w:r>
    </w:p>
    <w:p>
      <w:r>
        <w:t xml:space="preserve">Düsseldorf, den 12. Dezember 2000</w:t>
      </w:r>
    </w:p>
    <w:p>
      <w:r>
        <w:t xml:space="preserve">Die Landesregierung</w:t>
      </w:r>
    </w:p>
    <w:p>
      <w:r>
        <w:t xml:space="preserve">Nordrhein-Westafeln</w:t>
      </w:r>
    </w:p>
    <w:p>
      <w:r>
        <w:t xml:space="preserve">Der Ministerpräsident</w:t>
      </w:r>
    </w:p>
    <w:p>
      <w:r>
        <w:t xml:space="preserve">Wolfgang C l e m e n t</w:t>
      </w:r>
    </w:p>
    <w:p>
      <w:r>
        <w:t xml:space="preserve">Fünfter Staatsvertrag</w:t>
      </w:r>
    </w:p>
    <w:p>
      <w:r>
        <w:t xml:space="preserve">zur Änderung rundfunkrechtlicher Staatsverträge</w:t>
      </w:r>
    </w:p>
    <w:p>
      <w:r>
        <w:t xml:space="preserve">(Fünfter Rundfunkänderungsstaatsvertrag)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 und</w:t>
      </w:r>
    </w:p>
    <w:p>
      <w:r>
        <w:t xml:space="preserve">der Freistaat Thüringen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Art IV NW_28077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https://recht.nulegal.eu/gesetze/NW_28077/iv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