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NW_28067 (Nordrhein-Westfalen)</w:t>
      </w:r>
    </w:p>
    <w:p>
      <w:r>
        <w:rPr>
          <w:color w:val="555555"/>
          <w:sz w:val="18"/>
        </w:rPr>
        <w:t xml:space="preserve">Verordnung über den Betrieb von Drogenkonsumräumen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26. September 2000</w:t>
      </w:r>
    </w:p>
    <w:p>
      <w:r>
        <w:t xml:space="preserve">Auf Grund des § 10 a Abs. 2 des Betäubungsmittelgesetzes (BtMG) in der Fassung der Bekanntmachung vom 1. März 1994 (BGBl. I S. 358), zuletzt geändert durch Gesetz vom 28. März 2000 (BGBl. I S. 302), wird verordnet:</w:t>
      </w:r>
    </w:p>
    <w:p>
      <w:r>
        <w:rPr>
          <w:color w:val="555555"/>
          <w:sz w:val="17"/>
        </w:rPr>
        <w:t xml:space="preserve">Zitiervorschlag: Eingangsformel NW_28067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https://recht.nulegal.eu/gesetze/NW_28067/eingangsformel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