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NW_28067 (Nordrhein-Westfalen) — Betriebszweck</w:t>
      </w:r>
    </w:p>
    <w:p>
      <w:r>
        <w:rPr>
          <w:color w:val="555555"/>
          <w:sz w:val="18"/>
        </w:rPr>
        <w:t xml:space="preserve">Verordnung über den Betrieb von Drogenkonsumräumen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Drogenkonsumräume im Sinne des § 10 a BtMG müssen der Gesundheits-, Überlebens- und Ausstiegshilfe für Drogenabhängige dienen und in das Gesamtkonzept des örtlichen Drogenhilfesystems eingebunden sein.</w:t>
      </w:r>
    </w:p>
    <w:p>
      <w:r>
        <w:t xml:space="preserve">(2) Der Betrieb von Drogenkonsumräumen soll dazu beitragen,</w:t>
      </w:r>
    </w:p>
    <w:p>
      <w:r>
        <w:t xml:space="preserve">1. die durch Drogenkonsum bedingten Gesundheitsgefahren zu senken, um damit insbesondere das Überleben von Abhängigen zu sichern,</w:t>
      </w:r>
    </w:p>
    <w:p>
      <w:r>
        <w:t xml:space="preserve">2. die Behandlungsbereitschaft der Abhängigen zu wecken und dadurch den Einstieg in den Ausstieg aus der Sucht einzuleiten,</w:t>
      </w:r>
    </w:p>
    <w:p>
      <w:r>
        <w:t xml:space="preserve">3. die Inanspruchnahme weiterführender insbesondere suchttherapeutischer Hilfen einschließlich der vertragsärztlichen Versorgung zu fördern und</w:t>
      </w:r>
    </w:p>
    <w:p>
      <w:r>
        <w:t xml:space="preserve">4. die Belastungen der Öffentlichkeit durch konsumbezogene Verhaltensweisen zu reduzieren.</w:t>
      </w:r>
    </w:p>
    <w:p>
      <w:r>
        <w:t xml:space="preserve">(3) Träger und Personal dürfen für den Besuch der Drogenkonsumräume nicht werben jedoch im Rahmen ihrer Aufklärungsarbeit Hinweise geben.</w:t>
      </w:r>
    </w:p>
    <w:p>
      <w:r>
        <w:rPr>
          <w:color w:val="555555"/>
          <w:sz w:val="17"/>
        </w:rPr>
        <w:t xml:space="preserve">Zitiervorschlag: § 2 NW_28067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