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NW_28067 (Nordrhein-Westfalen) — Erlaubnisverfahren</w:t>
      </w:r>
    </w:p>
    <w:p>
      <w:r>
        <w:rPr>
          <w:color w:val="555555"/>
          <w:sz w:val="18"/>
        </w:rPr>
        <w:t xml:space="preserve">Verordnung über den Betrieb von Drogenkonsumräumen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Antrag ist in doppelter Ausfertigung über die Oberbürgermeisterin, den Oberbürgermeister, die Landrätin oder den Landrat und das Landesamt für Gesundheit und Arbeitsschutz Nordrhein-Westfalen an die oberste Landesgesundheitsbehörde zu richten.</w:t>
      </w:r>
    </w:p>
    <w:p>
      <w:r>
        <w:t xml:space="preserve">(2) Er muss die folgenden Angaben und Unterlagen enthalten:</w:t>
      </w:r>
    </w:p>
    <w:p>
      <w:r>
        <w:t xml:space="preserve">1. Name und Anschrift des Trägers der Einrichtung,</w:t>
      </w:r>
    </w:p>
    <w:p>
      <w:r>
        <w:t xml:space="preserve">2. Name und Anschrift der vor Ort im Sinne des § 10a Absatz 2 Nummer 10 des Betäubungsmittelgesetzes verantwortlichen Einrichtungsleitung und deren Vertretung,</w:t>
      </w:r>
    </w:p>
    <w:p>
      <w:r>
        <w:t xml:space="preserve">3. Darstellung der räumlichen und baulichen Ausstattung der Einrichtung, insbesondere Adresse, Grundriss/Lageplan, Bauweise und der Sicherungen gegen missbräuchlichen Umgang mit Betäubungsmitteln,</w:t>
      </w:r>
    </w:p>
    <w:p>
      <w:r>
        <w:t xml:space="preserve">4. Darstellung des Beratungskonzepts nach § 5 Absatz 2,</w:t>
      </w:r>
    </w:p>
    <w:p>
      <w:r>
        <w:t xml:space="preserve">5. Darstellung der Einbeziehung in das Drogenhilfegesamtkonzept der Kommune,</w:t>
      </w:r>
    </w:p>
    <w:p>
      <w:r>
        <w:t xml:space="preserve">6. Benennung der in der Einrichtung zum Konsum zugelassenen Betäubungsmittel und Konsumarten,</w:t>
      </w:r>
    </w:p>
    <w:p>
      <w:r>
        <w:t xml:space="preserve">7. Nachweise über die Qualifikation der Leitung und des übrigen Personals sowie Erklärungen darüber, dass sie die ihnen obliegenden Verpflichtungen ständig erfüllen können,</w:t>
      </w:r>
    </w:p>
    <w:p>
      <w:r>
        <w:t xml:space="preserve">8. Nachweise der persönlichen Zuverlässigkeit (zum Beispiel Vorlage amtlicher Führungszeugnisse),</w:t>
      </w:r>
    </w:p>
    <w:p>
      <w:r>
        <w:t xml:space="preserve">9. den Plan für die medizinische Notfallversorgung gemäß § 4 Satz 1,</w:t>
      </w:r>
    </w:p>
    <w:p>
      <w:r>
        <w:t xml:space="preserve">10. eine Hausordnung nach § 6 Absatz 1,</w:t>
      </w:r>
    </w:p>
    <w:p>
      <w:r>
        <w:t xml:space="preserve">11. Zahl der voraussichtlichen Nutzerinnen und Nutzer und</w:t>
      </w:r>
    </w:p>
    <w:p>
      <w:r>
        <w:t xml:space="preserve">12. Vereinbarung über die Zusammenarbeit mit den zuständigen Gesundheits-, Ordnungs- und Strafverfolgungsbehörden nach § 7.</w:t>
      </w:r>
    </w:p>
    <w:p>
      <w:r>
        <w:t xml:space="preserve">(3) Die Erlaubnis kann befristet und unter Bedingungen erteilt sowie mit Auflagen verbunden werden. Für Rücknahme und Widerruf der Erlaubnis gilt § 10 BtMG entsprechend.</w:t>
      </w:r>
    </w:p>
    <w:p>
      <w:r>
        <w:rPr>
          <w:color w:val="555555"/>
          <w:sz w:val="17"/>
        </w:rPr>
        <w:t xml:space="preserve">Zitiervorschlag: § 12 NW_28067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https://recht.nulegal.eu/gesetze/NW_28067/12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