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NW_28047 (Nordrhein-Westfalen)</w:t>
      </w:r>
    </w:p>
    <w:p>
      <w:r>
        <w:rPr>
          <w:color w:val="555555"/>
          <w:sz w:val="18"/>
        </w:rPr>
        <w:t xml:space="preserve">Landesbodenschutzgesetz für das Land Nordrhein-Westfalen (Landesbodenschutzgesetz - LBodSchG - (Fn 3))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9. Mai 2000</w:t>
      </w:r>
    </w:p>
    <w:p>
      <w:r>
        <w:t xml:space="preserve">(Artikel 1 des Gesetzes zur Ausführung und Ergänzung</w:t>
      </w:r>
    </w:p>
    <w:p>
      <w:r>
        <w:t xml:space="preserve">des Bundes-Bodenschutzgesetzes in Nordrhein-Westfalen)</w:t>
      </w:r>
    </w:p>
    <w:p>
      <w:r>
        <w:rPr>
          <w:color w:val="555555"/>
          <w:sz w:val="17"/>
        </w:rPr>
        <w:t xml:space="preserve">Zitiervorschlag: Volltext NW_28047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https://recht.nulegal.eu/gesetze/NW_28047/volltext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