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NW_28047 (Nordrhein-Westfalen) — Übermittlung der erfassten Daten, Aufbewahrungsdauer</w:t>
      </w:r>
    </w:p>
    <w:p>
      <w:r>
        <w:rPr>
          <w:color w:val="555555"/>
          <w:sz w:val="18"/>
        </w:rPr>
        <w:t xml:space="preserve">Landesbodenschutzgesetz für das Land Nordrhein-Westfalen (Landesbodenschutzgesetz - LBodSchG - (Fn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zuständigen Behörden übermitteln regelmäßig die nach §§ 5 und 7 erhobenen Daten, Tatsachen und Erkenntnisse, die Inhalte des Katasters nach § 8 und die Daten zu den in § 6 Abs. 1 genannten Kriterien dem Landesamt, soweit diese für die Führung des Bodeninformationssystems nach § 6 oder die Aufgabenwahrnehmung der in § 10 genannten Behörden und öffentlichen Stellen des Landes benötigt werden. 2Die übermittelten Inhalte werden von dem Landesamt in Dateien geführt und in Karten dargestellt. 3Das Ministerium für Umwelt und Naturschutz, Landwirtschaft und Verbraucherschutz (Ministerium) kann in einer Rechtsverordnung nähere Regelungen für die Übermittlung nach Satz 1 treffen, insbesondere über den Umfang der zu übermittelnden Inhalte, über die Form der Übermittlung einschließlich eines automatisierten Verfahrens, sowie über die erforderlichen Maßnahmen der Datensicherheit.</w:t>
      </w:r>
    </w:p>
    <w:p>
      <w:r>
        <w:t xml:space="preserve">(2) 1Für den Inhalt des Bodeninformationssystems (§ 6), der Kataster (§ 8) und der Dateien und Karten nach Absatz 1 besteht eine zeitlich unbeschränkte Aufbewahrungspflicht; dies gilt nicht für personenbezogene Daten, deren Aufbewahrung für die Aufgabenerfüllung nicht mehr erforderlich ist. 2Weitere Ausnahmen kann die jeweils nächsthöhere Bodenschutzbehörde sowie die oberste Bodenschutzbehörde gegenüber dem Landesamt zulassen.</w:t>
      </w:r>
    </w:p>
    <w:p>
      <w:r>
        <w:rPr>
          <w:color w:val="555555"/>
          <w:sz w:val="17"/>
        </w:rPr>
        <w:t xml:space="preserve">Zitiervorschlag: § 9 NW_28047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