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NW_28047 (Nordrhein-Westfalen) — Mitteilungspflichten</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4 Abs. 3 und 6 BBodSchG genannten Personen sind verpflichtet, Anhaltspunkte (§ 9 Abs. 1 Satz 1 BbodSchG i. V. m. § 3 Abs. 1 und 2 Bundes-Bodenschutz- und Altlastenverordnung) für das Vorliegen einer Altlast oder schädlichen Bodenveränderung auf dem Grundstück unverzüglich der zuständigen Behörde mitzuteilen. Die Pflicht nach Satz 1 erstreckt sich bei Baumaßnahmen, Baugrunduntersuchungen oder ähnlichen Eingriffen in den Boden und den Untergrund zusätzlich auch auf Bauherrinnen oder Bauherren.</w:t>
      </w:r>
    </w:p>
    <w:p>
      <w:r>
        <w:t xml:space="preserve">(2) Wer Materialien auf oder in den Boden nach § 12 Bundes-Bodenschutz- und Altlastenverordnung in einer Gesamtmenge je Vorhaben von über 800 m³ auf- oder einbringt oder hierzu einen Auftrag erteilt, hat dies der zuständigen Bodenschutzbehörde unter Angabe der Lage der betroffenen Fläche, der Art und des Zwecks der Maßnahme, des Materials sowie dessen Inhaltsstoffe und Menge anzuzeigen, sofern diese Maßnahmen nicht Gegenstand eines verbindlichen Sanierungsplanes nach § 13 Abs. 6 BBodSchG oder einer anderen behördlichen Entscheidung sind, an der die zuständige Bodenschutzbehörde zu beteiligen war. Die Anzeige soll mindestens vier Wochen vor Beginn der Maßnahme bei der zuständigen Bodenschutzbehörde eingehen.</w:t>
      </w:r>
    </w:p>
    <w:p>
      <w:r>
        <w:rPr>
          <w:color w:val="555555"/>
          <w:sz w:val="17"/>
        </w:rPr>
        <w:t xml:space="preserve">Zitiervorschlag: § 2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