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NW_28047 (Nordrhein-Westfalen) — (aufgehoben)</w:t>
      </w:r>
    </w:p>
    <w:p>
      <w:r>
        <w:rPr>
          <w:color w:val="555555"/>
          <w:sz w:val="18"/>
        </w:rPr>
        <w:t xml:space="preserve">Landesbodenschutzgesetz für das Land Nordrhein-Westfalen (Landesbodenschutzgesetz - LBodSchG - (Fn 3))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Fünfter Teil</w:t>
      </w:r>
    </w:p>
    <w:p>
      <w:r>
        <w:t xml:space="preserve">Schlussvorschriften</w:t>
      </w:r>
    </w:p>
    <w:p>
      <w:r>
        <w:rPr>
          <w:color w:val="555555"/>
          <w:sz w:val="17"/>
        </w:rPr>
        <w:t xml:space="preserve">Zitiervorschlag: § 18 NW_28047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https://recht.nulegal.eu/gesetze/NW_28047/18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