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NW_28047 (Nordrhein-Westfalen) — Information der Betroffenen und der Öffentlichkeit</w:t>
      </w:r>
    </w:p>
    <w:p>
      <w:r>
        <w:rPr>
          <w:color w:val="555555"/>
          <w:sz w:val="18"/>
        </w:rPr>
        <w:t xml:space="preserve">Landesbodenschutzgesetz für das Land Nordrhein-Westfalen (Landesbodenschutzgesetz - LBodSchG - (Fn 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der Kreis der nach § 12 Satz 1 BBodSchG zu informierenden Betroffenen nicht im vollen Umfang bekannt, sind die Unterlagen von der zuständigen Behörde nach ortsüblicher Bekanntmachung über den Ort und die Zeit der Auslegung einen Monat zur Einsichtnahme auszulegen.</w:t>
      </w:r>
    </w:p>
    <w:p>
      <w:r>
        <w:t xml:space="preserve">(2) Die zuständige Behörde kann für altlastverdächtige Flächen oder Altlasten, bei deren Sanierung besonders schwerwiegende Auswirkungen auf die Nachbarschaft zu erwarten sind, einen Beirat unter Beteiligung der zuständigen Fachbehörden, der betroffenen Gemeinden, der verantwortlichen Personen im Sinne des § 4 Abs. 3, 5 und 6 BBodSchG und der Personen, die die betroffenen Dritten vertreten, bilden. Der Beirat berät die zuständige Behörde. Bedenken und Anregungen sind möglichst frühzeitig zu erörtern.</w:t>
      </w:r>
    </w:p>
    <w:p>
      <w:r>
        <w:t xml:space="preserve">(3) 1Die zuständige Behörde soll die Öffentlichkeit insbesondere über</w:t>
      </w:r>
    </w:p>
    <w:p>
      <w:r>
        <w:t xml:space="preserve">1. Art und Ausmaß bestehender schädlicher Bodenveränderungen und ihre Auswirkungen,</w:t>
      </w:r>
    </w:p>
    <w:p>
      <w:r>
        <w:t xml:space="preserve">2. Art und Ausmaß eingetretener oder drohender schädlicher Bodenveränderungen und hierdurch verursachter Gewässerverunreinigungen nach Schadensfällen oder Betriebsstörungen</w:t>
      </w:r>
    </w:p>
    <w:p>
      <w:r>
        <w:t xml:space="preserve">unterrichten, sofern hieran ein besonderes öffentliches Interesse besteht. 2Eine Unterrichtung darf auch eine Bekanntgabe von Namen, Berufsbezeichnung oder Firma einer natürlichen Person oder den Firmennamen sowie die Branchen- und Geschäftsbezeichnung einer juristischen Person enthalten, soweit nicht das schutzwürdige Interesse der Betroffenen an einer Geheimhaltung überwiegt.</w:t>
      </w:r>
    </w:p>
    <w:p>
      <w:r>
        <w:rPr>
          <w:color w:val="555555"/>
          <w:sz w:val="17"/>
        </w:rPr>
        <w:t xml:space="preserve">Zitiervorschlag: § 11 NW_28047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