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NW_28044 (Nordrhein-Westfalen) — Berufung zugunsten von Beschuldigten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Beschuldigte können auch dann Berufung einlegen, wenn das Gericht festgestellt hat, dass eine Verletzung der Berufspflichten nicht erwiesen ist.</w:t>
      </w:r>
    </w:p>
    <w:p>
      <w:r>
        <w:t xml:space="preserve">(2) Die Kammer und die Vertretung der antragsberechtigten Aufsichtsbehörde können Berufung auch zugunsten der Beschuldigten einlegen.</w:t>
      </w:r>
    </w:p>
    <w:p>
      <w:r>
        <w:t xml:space="preserve">(3) Haben Beschuldigte Berufung eingelegt oder ist zu ihren Gunsten Berufung eingelegt worden, so kann das Urteil nicht zu ihrem Nachteil abgeändert werden.</w:t>
      </w:r>
    </w:p>
    <w:p>
      <w:r>
        <w:rPr>
          <w:color w:val="555555"/>
          <w:sz w:val="17"/>
        </w:rPr>
        <w:t xml:space="preserve">Zitiervorschlag: § 99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https://recht.nulegal.eu/gesetze/NW_28044/99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